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16"/>
        <w:spacing w:before="0" w:after="0"/>
        <w:jc w:val="right"/>
        <w:rPr/>
      </w:pPr>
      <w:r>
        <w:rPr>
          <w:b/>
          <w:bCs/>
          <w:sz w:val="28"/>
          <w:szCs w:val="28"/>
        </w:rPr>
        <w:t>копія</w:t>
      </w:r>
    </w:p>
    <w:p>
      <w:pPr>
        <w:pStyle w:val="Style16"/>
        <w:spacing w:before="0" w:after="0"/>
        <w:jc w:val="center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2844800</wp:posOffset>
                </wp:positionH>
                <wp:positionV relativeFrom="paragraph">
                  <wp:posOffset>-487680</wp:posOffset>
                </wp:positionV>
                <wp:extent cx="426720" cy="607060"/>
                <wp:effectExtent l="0" t="0" r="0" b="0"/>
                <wp:wrapTopAndBottom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426240" cy="606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rect id="shape_0" stroked="f" style="position:absolute;margin-left:224pt;margin-top:-38.4pt;width:33.5pt;height:47.7pt">
                <v:imagedata r:id="rId3" o:detectmouseclick="t"/>
                <w10:wrap type="none"/>
                <v:stroke color="#3465a4" joinstyle="round" endcap="flat"/>
              </v:rect>
            </w:pict>
          </mc:Fallback>
        </mc:AlternateContent>
      </w:r>
      <w:r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ОКРОВСЬКА МІСЬКА РАДА</w:t>
      </w:r>
    </w:p>
    <w:p>
      <w:pPr>
        <w:pStyle w:val="Style16"/>
        <w:spacing w:before="0" w:after="0"/>
        <w:jc w:val="center"/>
        <w:rPr/>
      </w:pPr>
      <w:r>
        <w:rPr>
          <w:b/>
          <w:bCs/>
          <w:sz w:val="28"/>
          <w:szCs w:val="28"/>
        </w:rPr>
        <w:t>ДНІПРОПЕТРОВСЬКОЇ ОБЛАСТІ</w:t>
      </w:r>
    </w:p>
    <w:p>
      <w:pPr>
        <w:pStyle w:val="Style16"/>
        <w:spacing w:before="0" w:after="0"/>
        <w:jc w:val="center"/>
        <w:rPr/>
      </w:pPr>
      <w:r>
        <w:rPr/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16510</wp:posOffset>
                </wp:positionH>
                <wp:positionV relativeFrom="paragraph">
                  <wp:posOffset>22860</wp:posOffset>
                </wp:positionV>
                <wp:extent cx="4291965" cy="12700"/>
                <wp:effectExtent l="0" t="0" r="0" b="0"/>
                <wp:wrapNone/>
                <wp:docPr id="2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960" cy="9000"/>
                        </a:xfrm>
                        <a:prstGeom prst="line">
                          <a:avLst/>
                        </a:prstGeom>
                        <a:ln w="176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3pt,1.6pt" to="482.75pt,2.25pt" ID="Прямая соединительная линия 1" stroked="t" style="position:absolute">
                <v:stroke color="black" weight="17640" joinstyle="miter" endcap="flat"/>
                <v:fill o:detectmouseclick="t" on="false"/>
              </v:line>
            </w:pict>
          </mc:Fallback>
        </mc:AlternateContent>
      </w:r>
    </w:p>
    <w:p>
      <w:pPr>
        <w:pStyle w:val="Style16"/>
        <w:spacing w:before="0" w:after="0"/>
        <w:jc w:val="center"/>
        <w:rPr/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РІШЕННЯ</w:t>
      </w:r>
    </w:p>
    <w:p>
      <w:pPr>
        <w:pStyle w:val="Style16"/>
        <w:ind w:hanging="0"/>
        <w:jc w:val="left"/>
        <w:rPr>
          <w:rFonts w:ascii="Times New Roman" w:hAnsi="Times New Roman"/>
          <w:sz w:val="16"/>
          <w:szCs w:val="16"/>
        </w:rPr>
      </w:pPr>
      <w:r>
        <w:rPr>
          <w:sz w:val="28"/>
          <w:szCs w:val="28"/>
        </w:rPr>
        <w:t>22.02.2019</w:t>
      </w:r>
      <w:r>
        <w:rPr>
          <w:sz w:val="28"/>
          <w:szCs w:val="28"/>
        </w:rPr>
        <w:t xml:space="preserve">                    </w:t>
        <w:tab/>
        <w:tab/>
        <w:tab/>
      </w:r>
      <w:r>
        <w:rPr>
          <w:sz w:val="28"/>
          <w:szCs w:val="28"/>
          <w:lang w:val="uk-UA"/>
        </w:rPr>
        <w:t>м.Покров</w:t>
      </w:r>
      <w:r>
        <w:rPr>
          <w:sz w:val="28"/>
          <w:szCs w:val="28"/>
        </w:rPr>
        <w:t xml:space="preserve">                              </w:t>
        <w:tab/>
        <w:tab/>
        <w:t xml:space="preserve">   № </w:t>
      </w:r>
      <w:r>
        <w:rPr>
          <w:sz w:val="28"/>
          <w:szCs w:val="28"/>
          <w:lang w:val="uk-UA"/>
        </w:rPr>
        <w:t>25</w:t>
      </w:r>
    </w:p>
    <w:p>
      <w:pPr>
        <w:pStyle w:val="Style16"/>
        <w:ind w:hanging="0"/>
        <w:jc w:val="left"/>
        <w:rPr>
          <w:sz w:val="28"/>
          <w:szCs w:val="28"/>
          <w:lang w:val="uk-UA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(</w:t>
      </w:r>
      <w:r>
        <w:rPr>
          <w:rFonts w:ascii="Times New Roman" w:hAnsi="Times New Roman"/>
          <w:sz w:val="28"/>
          <w:szCs w:val="28"/>
        </w:rPr>
        <w:t>42 сесія 7 скликання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)</w:t>
      </w:r>
    </w:p>
    <w:p>
      <w:pPr>
        <w:pStyle w:val="NormalWeb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5387" w:leader="none"/>
        </w:tabs>
        <w:spacing w:lineRule="auto" w:line="216" w:before="0" w:after="200"/>
        <w:ind w:right="4534" w:hanging="0"/>
        <w:contextualSpacing/>
        <w:jc w:val="both"/>
        <w:rPr/>
      </w:pPr>
      <w:r>
        <w:rPr>
          <w:rFonts w:ascii="Times New Roman" w:hAnsi="Times New Roman"/>
          <w:bCs/>
          <w:iCs/>
          <w:sz w:val="28"/>
          <w:szCs w:val="28"/>
        </w:rPr>
        <w:t xml:space="preserve">Про затвердження  заходів   з   утримання об’єктів та  елементів   благоустрою   у        м. Покров </w:t>
      </w:r>
      <w:r>
        <w:rPr>
          <w:rFonts w:ascii="Times New Roman" w:hAnsi="Times New Roman"/>
          <w:sz w:val="28"/>
          <w:szCs w:val="28"/>
        </w:rPr>
        <w:t>на 2019 рік в новій редакції</w:t>
      </w:r>
    </w:p>
    <w:p>
      <w:pPr>
        <w:pStyle w:val="Normal"/>
        <w:tabs>
          <w:tab w:val="left" w:pos="5387" w:leader="none"/>
        </w:tabs>
        <w:spacing w:lineRule="auto" w:line="216" w:before="0" w:after="200"/>
        <w:ind w:right="4534" w:hanging="0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Web"/>
        <w:spacing w:before="0" w:after="0"/>
        <w:ind w:firstLine="709"/>
        <w:contextualSpacing/>
        <w:jc w:val="both"/>
        <w:rPr/>
      </w:pPr>
      <w:r>
        <w:rPr>
          <w:sz w:val="28"/>
          <w:szCs w:val="28"/>
        </w:rPr>
        <w:t xml:space="preserve">З метою забезпечення належного технічного та естетичного стану об’єктів та елементів благоустрою у м. Покров </w:t>
      </w:r>
      <w:r>
        <w:rPr>
          <w:bCs/>
          <w:iCs/>
          <w:sz w:val="28"/>
          <w:szCs w:val="28"/>
        </w:rPr>
        <w:t xml:space="preserve">в рамках виконання </w:t>
      </w:r>
      <w:r>
        <w:rPr>
          <w:sz w:val="28"/>
          <w:szCs w:val="28"/>
        </w:rPr>
        <w:t xml:space="preserve">«Програми </w:t>
      </w:r>
      <w:r>
        <w:rPr>
          <w:bCs/>
          <w:iCs/>
          <w:sz w:val="28"/>
          <w:szCs w:val="28"/>
        </w:rPr>
        <w:t xml:space="preserve">реформування, розвитку  житлово-комунального господарства та благоустрою міста Покров на 2018–2023 роки» та визначення механізму використання </w:t>
      </w:r>
      <w:r>
        <w:rPr>
          <w:sz w:val="28"/>
          <w:szCs w:val="28"/>
        </w:rPr>
        <w:t xml:space="preserve">коштів, відповідно до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акон</w:t>
      </w:r>
      <w:r>
        <w:rPr>
          <w:sz w:val="28"/>
          <w:szCs w:val="28"/>
        </w:rPr>
        <w:t>ів</w:t>
      </w:r>
      <w:r>
        <w:rPr>
          <w:sz w:val="28"/>
          <w:szCs w:val="28"/>
        </w:rPr>
        <w:t xml:space="preserve"> України  від 30 </w:t>
      </w:r>
      <w:r>
        <w:rPr>
          <w:sz w:val="28"/>
          <w:szCs w:val="28"/>
        </w:rPr>
        <w:t xml:space="preserve">червня </w:t>
      </w:r>
      <w:r>
        <w:rPr>
          <w:sz w:val="28"/>
          <w:szCs w:val="28"/>
        </w:rPr>
        <w:t>1993</w:t>
      </w:r>
      <w:r>
        <w:rPr>
          <w:sz w:val="28"/>
          <w:szCs w:val="28"/>
        </w:rPr>
        <w:t>р.</w:t>
      </w:r>
      <w:r>
        <w:rPr>
          <w:sz w:val="28"/>
          <w:szCs w:val="28"/>
        </w:rPr>
        <w:t xml:space="preserve"> № 3353-ХІІ “Про дорожній рух” (зі змінами), від 08 </w:t>
      </w:r>
      <w:r>
        <w:rPr>
          <w:sz w:val="28"/>
          <w:szCs w:val="28"/>
        </w:rPr>
        <w:t xml:space="preserve">вересня </w:t>
      </w:r>
      <w:r>
        <w:rPr>
          <w:sz w:val="28"/>
          <w:szCs w:val="28"/>
        </w:rPr>
        <w:t>2005</w:t>
      </w:r>
      <w:r>
        <w:rPr>
          <w:sz w:val="28"/>
          <w:szCs w:val="28"/>
        </w:rPr>
        <w:t>р.</w:t>
      </w:r>
      <w:r>
        <w:rPr>
          <w:sz w:val="28"/>
          <w:szCs w:val="28"/>
        </w:rPr>
        <w:t xml:space="preserve"> №2862-І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“Про автомобільні дороги” (зі змінами), від 06 </w:t>
      </w:r>
      <w:r>
        <w:rPr>
          <w:sz w:val="28"/>
          <w:szCs w:val="28"/>
        </w:rPr>
        <w:t xml:space="preserve">вересня </w:t>
      </w:r>
      <w:r>
        <w:rPr>
          <w:sz w:val="28"/>
          <w:szCs w:val="28"/>
        </w:rPr>
        <w:t>2005</w:t>
      </w:r>
      <w:r>
        <w:rPr>
          <w:sz w:val="28"/>
          <w:szCs w:val="28"/>
        </w:rPr>
        <w:t>р.</w:t>
      </w:r>
      <w:r>
        <w:rPr>
          <w:sz w:val="28"/>
          <w:szCs w:val="28"/>
        </w:rPr>
        <w:t xml:space="preserve"> № 2807-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“Про благоустрій населених пунктів” (зі змінами), статт</w:t>
      </w:r>
      <w:r>
        <w:rPr>
          <w:sz w:val="28"/>
          <w:szCs w:val="28"/>
        </w:rPr>
        <w:t>і</w:t>
      </w:r>
      <w:r>
        <w:rPr>
          <w:sz w:val="28"/>
          <w:szCs w:val="28"/>
        </w:rPr>
        <w:t xml:space="preserve"> 26  «Про місцеве самоврядування в Україні”,  статей 22, 23 Бюджетного кодексу України від 08.07.2010 №2456-І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(зі змінами), Порядку казначейського обслуговування місцевих бюджетів, затвердженого наказом Міністерства фінансів України від 23.08.2012 № 938, Методичних рекомендацій з прибирання території об’єктів благоустрою населених пунктів, затверджених наказом Міністерства з питань житлово-комунального господарства України від 07.07.2008 №213, Норм  матеріальних витрат при утриманні зелених насаджень, затверджених наказом Міністерства з питань житлово-комунального господарства України від 11.11.2008 № 340,  керуючись Порядком проведення ремонту та утримання об’єктів благоустрою населених пунктів, затвердженого наказом Державного комітету України з питань житлово-комунального господарства від 23.09.2003 №154 (зі змінами), Порядком утримання кладовищ та інших місць поховань, затвердженого наказом Держжитлокомунгоспу України від 19.11.2003 №193 та рішенням І пленарного засідання 40 сесії міської ради 7 скликання від 04.12.2018  №2 «</w:t>
      </w:r>
      <w:r>
        <w:rPr>
          <w:bCs/>
          <w:iCs/>
          <w:sz w:val="28"/>
          <w:szCs w:val="28"/>
        </w:rPr>
        <w:t>Про бюджет м.Покров на 2019 рік»,</w:t>
      </w:r>
      <w:r>
        <w:rPr>
          <w:sz w:val="28"/>
          <w:szCs w:val="28"/>
        </w:rPr>
        <w:t xml:space="preserve"> міська рада</w:t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="0" w:after="0"/>
        <w:jc w:val="both"/>
        <w:rPr/>
      </w:pPr>
      <w:r>
        <w:rPr>
          <w:b/>
          <w:bCs/>
          <w:sz w:val="28"/>
          <w:szCs w:val="28"/>
        </w:rPr>
        <w:t>ВИРІШИЛА:</w:t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Викласти заходи з утримання об’єктів та елементів благоустрою у        м. Покров на 2019 рік в новій редакції, що затверджені пунктом 1.1. рішення    </w:t>
      </w:r>
      <w:r>
        <w:rPr>
          <w:sz w:val="28"/>
          <w:szCs w:val="27"/>
        </w:rPr>
        <w:t>40 сесії міської ради 7 скликання</w:t>
      </w:r>
      <w:r>
        <w:rPr>
          <w:sz w:val="28"/>
          <w:szCs w:val="28"/>
        </w:rPr>
        <w:t xml:space="preserve"> від 26.12.2018 № 44 «</w:t>
      </w:r>
      <w:r>
        <w:rPr>
          <w:bCs/>
          <w:iCs/>
          <w:sz w:val="28"/>
          <w:szCs w:val="28"/>
        </w:rPr>
        <w:t xml:space="preserve">Про затвердження заходів з утримання об’єктів та елементів благоустрою у м. Покров та Порядку фінансування </w:t>
      </w:r>
      <w:r>
        <w:rPr>
          <w:sz w:val="28"/>
          <w:szCs w:val="28"/>
        </w:rPr>
        <w:t xml:space="preserve">заходів з утримання об’єктів та елементів благоустрою у               м. Покров на 2019 рік» </w:t>
      </w:r>
      <w:r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додається).</w:t>
      </w:r>
    </w:p>
    <w:p>
      <w:pPr>
        <w:pStyle w:val="NormalWeb"/>
        <w:spacing w:before="0" w:after="0"/>
        <w:ind w:firstLine="709"/>
        <w:jc w:val="both"/>
        <w:rPr/>
      </w:pPr>
      <w:r>
        <w:rPr>
          <w:sz w:val="28"/>
          <w:szCs w:val="28"/>
        </w:rPr>
        <w:t xml:space="preserve">2. Координаційне забезпечення виконання цього рішення покласти на управління житлово – комунального господарства та будівництва виконавчого комітету Покровської міської ради (Ребенок В.В.), контроль – на заступника міського голови Чистякова О.Г. та на постійні депутатські комісії з питань благоустрою, житлово-комунального господарства, енергозбереження, транспорту, зв’язку, торгівлі та побутового обслуговування населення          (Міць Л.О.), з питань планування бюджету, фінансів, економічного розвитку, регуляторної політики та підприємництва (Травка В.І.). </w:t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="0" w:after="0"/>
        <w:ind w:firstLine="709"/>
        <w:jc w:val="both"/>
        <w:rPr/>
      </w:pPr>
      <w:r>
        <w:rPr>
          <w:sz w:val="28"/>
          <w:szCs w:val="28"/>
        </w:rPr>
        <w:t xml:space="preserve"> </w:t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/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/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/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/>
      </w:r>
    </w:p>
    <w:p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/>
      </w:r>
    </w:p>
    <w:p>
      <w:pPr>
        <w:pStyle w:val="NormalWeb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голова </w:t>
        <w:tab/>
        <w:tab/>
        <w:tab/>
        <w:tab/>
        <w:tab/>
        <w:tab/>
        <w:tab/>
        <w:tab/>
        <w:tab/>
        <w:t>О.М. Шаповал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b/>
          <w:b/>
          <w:bCs/>
          <w:spacing w:val="34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>Ребенок 4 48 43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false"/>
  <w:compat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uk-UA" w:eastAsia="uk-UA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f4f8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zh-CN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sid w:val="004f4f80"/>
    <w:rPr/>
  </w:style>
  <w:style w:type="character" w:styleId="Style14" w:customStyle="1">
    <w:name w:val="Основной текст Знак"/>
    <w:qFormat/>
    <w:rsid w:val="004f4f80"/>
    <w:rPr>
      <w:rFonts w:ascii="Times New Roman" w:hAnsi="Times New Roman" w:eastAsia="Andale Sans UI" w:cs="Times New Roman"/>
      <w:kern w:val="2"/>
      <w:sz w:val="24"/>
      <w:szCs w:val="24"/>
    </w:rPr>
  </w:style>
  <w:style w:type="paragraph" w:styleId="Style15" w:customStyle="1">
    <w:name w:val="Заголовок"/>
    <w:basedOn w:val="Normal"/>
    <w:next w:val="Style16"/>
    <w:qFormat/>
    <w:rsid w:val="004f4f80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rsid w:val="004f4f80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7">
    <w:name w:val="List"/>
    <w:basedOn w:val="Style16"/>
    <w:rsid w:val="004f4f80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rsid w:val="004f4f8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 w:customStyle="1">
    <w:name w:val="Указатель1"/>
    <w:basedOn w:val="Normal"/>
    <w:qFormat/>
    <w:rsid w:val="004f4f80"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rsid w:val="004f4f80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NormalWeb">
    <w:name w:val="Normal (Web)"/>
    <w:basedOn w:val="Normal"/>
    <w:qFormat/>
    <w:rsid w:val="00885b75"/>
    <w:pPr>
      <w:widowControl w:val="false"/>
      <w:spacing w:lineRule="auto" w:line="240" w:before="280" w:after="280"/>
    </w:pPr>
    <w:rPr>
      <w:rFonts w:ascii="Times New Roman" w:hAnsi="Times New Roman" w:eastAsia="Andale Sans UI"/>
      <w:kern w:val="2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рішення МР - копия</Template>
  <TotalTime>45</TotalTime>
  <Application>LibreOffice/5.4.7.2$Windows_X86_64 LibreOffice_project/c838ef25c16710f8838b1faec480ebba495259d0</Application>
  <Pages>2</Pages>
  <Words>369</Words>
  <Characters>2487</Characters>
  <CharactersWithSpaces>2970</CharactersWithSpaces>
  <Paragraphs>14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2019-02-05T13:49:00Z</dcterms:created>
  <dc:creator>Igor</dc:creator>
  <dc:description/>
  <dc:language>ru-RU</dc:language>
  <cp:lastModifiedBy/>
  <cp:lastPrinted>2019-02-25T11:47:16Z</cp:lastPrinted>
  <dcterms:modified xsi:type="dcterms:W3CDTF">2019-02-25T11:51:55Z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